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D9A3" w14:textId="5ECF62DC" w:rsidR="008B5432" w:rsidRDefault="008B5432" w:rsidP="008B5432">
      <w:pPr>
        <w:jc w:val="center"/>
        <w:rPr>
          <w:rFonts w:ascii="Arial" w:eastAsia="Arial" w:hAnsi="Arial" w:cs="Arial"/>
          <w:b/>
          <w:bCs/>
          <w:sz w:val="28"/>
          <w:szCs w:val="28"/>
          <w:u w:val="single"/>
        </w:rPr>
      </w:pPr>
      <w:r w:rsidRPr="002C26D6">
        <w:rPr>
          <w:rFonts w:ascii="Arial" w:eastAsia="Arial" w:hAnsi="Arial" w:cs="Arial"/>
          <w:b/>
          <w:bCs/>
          <w:sz w:val="28"/>
          <w:szCs w:val="28"/>
          <w:u w:val="single"/>
        </w:rPr>
        <w:t>Progress Update #2</w:t>
      </w:r>
      <w:r>
        <w:rPr>
          <w:rFonts w:ascii="Arial" w:eastAsia="Arial" w:hAnsi="Arial" w:cs="Arial"/>
          <w:b/>
          <w:bCs/>
          <w:sz w:val="28"/>
          <w:szCs w:val="28"/>
          <w:u w:val="single"/>
        </w:rPr>
        <w:t xml:space="preserve"> – </w:t>
      </w:r>
      <w:r w:rsidR="00F07C4F">
        <w:rPr>
          <w:rFonts w:ascii="Arial" w:eastAsia="Arial" w:hAnsi="Arial" w:cs="Arial"/>
          <w:b/>
          <w:bCs/>
          <w:sz w:val="28"/>
          <w:szCs w:val="28"/>
          <w:u w:val="single"/>
        </w:rPr>
        <w:t>Hidden Valley</w:t>
      </w:r>
      <w:r>
        <w:rPr>
          <w:rFonts w:ascii="Arial" w:eastAsia="Arial" w:hAnsi="Arial" w:cs="Arial"/>
          <w:b/>
          <w:bCs/>
          <w:sz w:val="28"/>
          <w:szCs w:val="28"/>
          <w:u w:val="single"/>
        </w:rPr>
        <w:t xml:space="preserve"> Elementary</w:t>
      </w:r>
    </w:p>
    <w:p w14:paraId="39A51935" w14:textId="6BF68FC4" w:rsidR="008B5432" w:rsidRPr="002C26D6" w:rsidRDefault="008B5432" w:rsidP="008B5432">
      <w:pPr>
        <w:jc w:val="center"/>
        <w:rPr>
          <w:sz w:val="28"/>
          <w:szCs w:val="28"/>
          <w:u w:val="single"/>
        </w:rPr>
      </w:pPr>
      <w:r>
        <w:rPr>
          <w:sz w:val="28"/>
          <w:szCs w:val="28"/>
          <w:u w:val="single"/>
        </w:rPr>
        <w:t xml:space="preserve">Principal – </w:t>
      </w:r>
      <w:r w:rsidR="00F07C4F">
        <w:rPr>
          <w:sz w:val="28"/>
          <w:szCs w:val="28"/>
          <w:u w:val="single"/>
        </w:rPr>
        <w:t>Amy Hicks</w:t>
      </w:r>
    </w:p>
    <w:p w14:paraId="0DC4DBAD" w14:textId="77777777" w:rsidR="008B5432" w:rsidRPr="00D505D4" w:rsidRDefault="008B5432" w:rsidP="008B5432">
      <w:pPr>
        <w:rPr>
          <w:rFonts w:ascii="Arial" w:eastAsia="Arial" w:hAnsi="Arial" w:cs="Arial"/>
          <w:b/>
          <w:bCs/>
          <w:color w:val="44546A" w:themeColor="text2"/>
          <w:u w:val="single"/>
        </w:rPr>
      </w:pPr>
      <w:r w:rsidRPr="00D505D4">
        <w:rPr>
          <w:rFonts w:ascii="Arial" w:eastAsia="Arial" w:hAnsi="Arial" w:cs="Arial"/>
          <w:b/>
          <w:bCs/>
          <w:color w:val="44546A" w:themeColor="text2"/>
          <w:u w:val="single"/>
        </w:rPr>
        <w:t>Professional Development</w:t>
      </w:r>
    </w:p>
    <w:p w14:paraId="542C3205" w14:textId="77777777" w:rsidR="008B5432" w:rsidRDefault="008B5432" w:rsidP="008B5432">
      <w:pPr>
        <w:rPr>
          <w:rFonts w:ascii="Arial" w:eastAsia="Arial" w:hAnsi="Arial" w:cs="Arial"/>
          <w:b/>
          <w:bCs/>
        </w:rPr>
      </w:pPr>
    </w:p>
    <w:p w14:paraId="3E87D02B" w14:textId="77777777" w:rsidR="008B5432" w:rsidRPr="00EB22C1"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
          <w:bCs/>
          <w:u w:val="single"/>
        </w:rPr>
      </w:pPr>
      <w:r w:rsidRPr="00EB22C1">
        <w:rPr>
          <w:rFonts w:ascii="Arial" w:eastAsia="Arial" w:hAnsi="Arial" w:cs="Arial"/>
          <w:b/>
          <w:bCs/>
          <w:u w:val="single"/>
        </w:rPr>
        <w:t>Progress for ELA and Math</w:t>
      </w:r>
    </w:p>
    <w:p w14:paraId="7B49E01A" w14:textId="3C5D6439"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According to our School Performance Plan, we are working in the following areas for Professional Development:</w:t>
      </w:r>
    </w:p>
    <w:p w14:paraId="5C274785"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Implementation of Leveled Literacy Intervention for the 6th-20th percentile grades K-5. Phonics First for the 1st-5th percentile grades K-3.  Long term substitutes are assisting in providing supports in these areas, </w:t>
      </w:r>
      <w:proofErr w:type="gramStart"/>
      <w:r w:rsidRPr="00AA3939">
        <w:rPr>
          <w:rFonts w:ascii="Arial" w:eastAsia="Arial" w:hAnsi="Arial" w:cs="Arial"/>
          <w:bCs/>
        </w:rPr>
        <w:t>as well as,</w:t>
      </w:r>
      <w:proofErr w:type="gramEnd"/>
      <w:r w:rsidRPr="00AA3939">
        <w:rPr>
          <w:rFonts w:ascii="Arial" w:eastAsia="Arial" w:hAnsi="Arial" w:cs="Arial"/>
          <w:bCs/>
        </w:rPr>
        <w:t xml:space="preserve"> classroom teachers.  </w:t>
      </w:r>
    </w:p>
    <w:p w14:paraId="69EF9FBE" w14:textId="148491E9"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Benchmark Intervention for fluency, comprehension, language </w:t>
      </w:r>
      <w:proofErr w:type="gramStart"/>
      <w:r w:rsidRPr="00AA3939">
        <w:rPr>
          <w:rFonts w:ascii="Arial" w:eastAsia="Arial" w:hAnsi="Arial" w:cs="Arial"/>
          <w:bCs/>
        </w:rPr>
        <w:t>skills K-5</w:t>
      </w:r>
      <w:proofErr w:type="gramEnd"/>
      <w:r w:rsidR="00753FE2" w:rsidRPr="00AA3939">
        <w:rPr>
          <w:rFonts w:ascii="Arial" w:eastAsia="Arial" w:hAnsi="Arial" w:cs="Arial"/>
          <w:bCs/>
        </w:rPr>
        <w:t xml:space="preserve">.  Long term substitutes are assisting in providing supports in these areas, </w:t>
      </w:r>
      <w:proofErr w:type="gramStart"/>
      <w:r w:rsidR="00753FE2" w:rsidRPr="00AA3939">
        <w:rPr>
          <w:rFonts w:ascii="Arial" w:eastAsia="Arial" w:hAnsi="Arial" w:cs="Arial"/>
          <w:bCs/>
        </w:rPr>
        <w:t>as well as,</w:t>
      </w:r>
      <w:proofErr w:type="gramEnd"/>
      <w:r w:rsidR="00753FE2" w:rsidRPr="00AA3939">
        <w:rPr>
          <w:rFonts w:ascii="Arial" w:eastAsia="Arial" w:hAnsi="Arial" w:cs="Arial"/>
          <w:bCs/>
        </w:rPr>
        <w:t xml:space="preserve"> classroom teachers.  </w:t>
      </w:r>
    </w:p>
    <w:p w14:paraId="28D0217A"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Rigorous grade level text daily</w:t>
      </w:r>
      <w:r w:rsidR="0083321F" w:rsidRPr="00AA3939">
        <w:rPr>
          <w:rFonts w:ascii="Arial" w:eastAsia="Arial" w:hAnsi="Arial" w:cs="Arial"/>
          <w:bCs/>
        </w:rPr>
        <w:t xml:space="preserve"> – through Benchmark, science texts and Project Tahoe </w:t>
      </w:r>
      <w:proofErr w:type="gramStart"/>
      <w:r w:rsidR="0083321F" w:rsidRPr="00AA3939">
        <w:rPr>
          <w:rFonts w:ascii="Arial" w:eastAsia="Arial" w:hAnsi="Arial" w:cs="Arial"/>
          <w:bCs/>
        </w:rPr>
        <w:t>text</w:t>
      </w:r>
      <w:proofErr w:type="gramEnd"/>
      <w:r w:rsidR="0083321F" w:rsidRPr="00AA3939">
        <w:rPr>
          <w:rFonts w:ascii="Arial" w:eastAsia="Arial" w:hAnsi="Arial" w:cs="Arial"/>
          <w:bCs/>
        </w:rPr>
        <w:t>.</w:t>
      </w:r>
    </w:p>
    <w:p w14:paraId="53A11CE9"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Implementation of the Benchmark Literacy Curriculum for grades K-5.</w:t>
      </w:r>
    </w:p>
    <w:p w14:paraId="66DEFD72"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Weekly common assessments, from Benchmark, conducted</w:t>
      </w:r>
      <w:r w:rsidR="0083321F" w:rsidRPr="00AA3939">
        <w:rPr>
          <w:rFonts w:ascii="Arial" w:eastAsia="Arial" w:hAnsi="Arial" w:cs="Arial"/>
          <w:bCs/>
        </w:rPr>
        <w:t>, analyzed, and discussed in grade level PLC’s.</w:t>
      </w:r>
    </w:p>
    <w:p w14:paraId="13ADE059"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Essential Standards planning and assessment for grades K-5</w:t>
      </w:r>
      <w:r w:rsidR="00753FE2" w:rsidRPr="00AA3939">
        <w:rPr>
          <w:rFonts w:ascii="Arial" w:eastAsia="Arial" w:hAnsi="Arial" w:cs="Arial"/>
          <w:bCs/>
        </w:rPr>
        <w:t xml:space="preserve"> These standards have been determined, will be shared during vertical alignment in November, and addressed during PLC each week.  </w:t>
      </w:r>
    </w:p>
    <w:p w14:paraId="10847952" w14:textId="54E22C9B"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Guided Reading groups for intervention and enrichment.</w:t>
      </w:r>
    </w:p>
    <w:p w14:paraId="452F011A"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Use of </w:t>
      </w:r>
      <w:proofErr w:type="spellStart"/>
      <w:r w:rsidRPr="00AA3939">
        <w:rPr>
          <w:rFonts w:ascii="Arial" w:eastAsia="Arial" w:hAnsi="Arial" w:cs="Arial"/>
          <w:bCs/>
        </w:rPr>
        <w:t>Ellevation</w:t>
      </w:r>
      <w:proofErr w:type="spellEnd"/>
      <w:r w:rsidRPr="00AA3939">
        <w:rPr>
          <w:rFonts w:ascii="Arial" w:eastAsia="Arial" w:hAnsi="Arial" w:cs="Arial"/>
          <w:bCs/>
        </w:rPr>
        <w:t xml:space="preserve"> to support all students with engagement and language strategies.</w:t>
      </w:r>
      <w:r w:rsidR="00753FE2" w:rsidRPr="00AA3939">
        <w:rPr>
          <w:rFonts w:ascii="Arial" w:eastAsia="Arial" w:hAnsi="Arial" w:cs="Arial"/>
          <w:bCs/>
        </w:rPr>
        <w:t xml:space="preserve">  The ELD Facilitator has met with all grade levels to review what </w:t>
      </w:r>
      <w:proofErr w:type="spellStart"/>
      <w:r w:rsidR="00753FE2" w:rsidRPr="00AA3939">
        <w:rPr>
          <w:rFonts w:ascii="Arial" w:eastAsia="Arial" w:hAnsi="Arial" w:cs="Arial"/>
          <w:bCs/>
        </w:rPr>
        <w:t>Ellevation</w:t>
      </w:r>
      <w:proofErr w:type="spellEnd"/>
      <w:r w:rsidR="00753FE2" w:rsidRPr="00AA3939">
        <w:rPr>
          <w:rFonts w:ascii="Arial" w:eastAsia="Arial" w:hAnsi="Arial" w:cs="Arial"/>
          <w:bCs/>
        </w:rPr>
        <w:t xml:space="preserve"> </w:t>
      </w:r>
      <w:proofErr w:type="gramStart"/>
      <w:r w:rsidR="00753FE2" w:rsidRPr="00AA3939">
        <w:rPr>
          <w:rFonts w:ascii="Arial" w:eastAsia="Arial" w:hAnsi="Arial" w:cs="Arial"/>
          <w:bCs/>
        </w:rPr>
        <w:t>has to</w:t>
      </w:r>
      <w:proofErr w:type="gramEnd"/>
      <w:r w:rsidR="00753FE2" w:rsidRPr="00AA3939">
        <w:rPr>
          <w:rFonts w:ascii="Arial" w:eastAsia="Arial" w:hAnsi="Arial" w:cs="Arial"/>
          <w:bCs/>
        </w:rPr>
        <w:t xml:space="preserve"> support all students, specifically English Language Learners.  In addition, </w:t>
      </w:r>
      <w:r w:rsidR="00057EE7" w:rsidRPr="00AA3939">
        <w:rPr>
          <w:rFonts w:ascii="Arial" w:eastAsia="Arial" w:hAnsi="Arial" w:cs="Arial"/>
          <w:bCs/>
        </w:rPr>
        <w:t xml:space="preserve">the ELD Facilitator has modeled </w:t>
      </w:r>
      <w:proofErr w:type="spellStart"/>
      <w:r w:rsidR="00057EE7" w:rsidRPr="00AA3939">
        <w:rPr>
          <w:rFonts w:ascii="Arial" w:eastAsia="Arial" w:hAnsi="Arial" w:cs="Arial"/>
          <w:bCs/>
        </w:rPr>
        <w:t>Ellevation</w:t>
      </w:r>
      <w:proofErr w:type="spellEnd"/>
      <w:r w:rsidR="00057EE7" w:rsidRPr="00AA3939">
        <w:rPr>
          <w:rFonts w:ascii="Arial" w:eastAsia="Arial" w:hAnsi="Arial" w:cs="Arial"/>
          <w:bCs/>
        </w:rPr>
        <w:t xml:space="preserve">/GLAD strategies in classrooms for general education </w:t>
      </w:r>
      <w:proofErr w:type="gramStart"/>
      <w:r w:rsidR="00057EE7" w:rsidRPr="00AA3939">
        <w:rPr>
          <w:rFonts w:ascii="Arial" w:eastAsia="Arial" w:hAnsi="Arial" w:cs="Arial"/>
          <w:bCs/>
        </w:rPr>
        <w:t>teachers, and</w:t>
      </w:r>
      <w:proofErr w:type="gramEnd"/>
      <w:r w:rsidR="00057EE7" w:rsidRPr="00AA3939">
        <w:rPr>
          <w:rFonts w:ascii="Arial" w:eastAsia="Arial" w:hAnsi="Arial" w:cs="Arial"/>
          <w:bCs/>
        </w:rPr>
        <w:t xml:space="preserve"> will be providing additional professional development in November.  </w:t>
      </w:r>
    </w:p>
    <w:p w14:paraId="374A12C5"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Common planning </w:t>
      </w:r>
      <w:proofErr w:type="gramStart"/>
      <w:r w:rsidRPr="00AA3939">
        <w:rPr>
          <w:rFonts w:ascii="Arial" w:eastAsia="Arial" w:hAnsi="Arial" w:cs="Arial"/>
          <w:bCs/>
        </w:rPr>
        <w:t>time  through</w:t>
      </w:r>
      <w:proofErr w:type="gramEnd"/>
      <w:r w:rsidRPr="00AA3939">
        <w:rPr>
          <w:rFonts w:ascii="Arial" w:eastAsia="Arial" w:hAnsi="Arial" w:cs="Arial"/>
          <w:bCs/>
        </w:rPr>
        <w:t xml:space="preserve"> PLC's each Wednesday.</w:t>
      </w:r>
      <w:r w:rsidR="00057EE7" w:rsidRPr="00AA3939">
        <w:rPr>
          <w:rFonts w:ascii="Arial" w:eastAsia="Arial" w:hAnsi="Arial" w:cs="Arial"/>
          <w:bCs/>
        </w:rPr>
        <w:t xml:space="preserve"> PLC’s focus on the talking points, student work samples, and data from classroom assessments and School City.  </w:t>
      </w:r>
    </w:p>
    <w:p w14:paraId="2FBEDE9E" w14:textId="468F6F78"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Curriculum planning for each Benchmark unit aligned to the weekly common assessments Use the MAPS assessments </w:t>
      </w:r>
      <w:r w:rsidR="00F07C4F">
        <w:rPr>
          <w:rFonts w:ascii="Arial" w:eastAsia="Arial" w:hAnsi="Arial" w:cs="Arial"/>
          <w:bCs/>
        </w:rPr>
        <w:t>2</w:t>
      </w:r>
      <w:r w:rsidRPr="00AA3939">
        <w:rPr>
          <w:rFonts w:ascii="Arial" w:eastAsia="Arial" w:hAnsi="Arial" w:cs="Arial"/>
          <w:bCs/>
        </w:rPr>
        <w:t>x a year and compare with common weekly assessments.</w:t>
      </w:r>
    </w:p>
    <w:p w14:paraId="486F1F13" w14:textId="77777777" w:rsidR="008B5432" w:rsidRPr="00155D80"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155D80">
        <w:rPr>
          <w:rFonts w:ascii="Arial" w:eastAsia="Arial" w:hAnsi="Arial" w:cs="Arial"/>
          <w:bCs/>
        </w:rPr>
        <w:t>Essential Standards created by grade levels and planned and assessed consistently. Make connections between daily instruction and essential standards.</w:t>
      </w:r>
    </w:p>
    <w:p w14:paraId="6A080746" w14:textId="77777777" w:rsidR="008B5432" w:rsidRPr="00155D80"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155D80">
        <w:rPr>
          <w:rFonts w:ascii="Arial" w:eastAsia="Arial" w:hAnsi="Arial" w:cs="Arial"/>
          <w:bCs/>
        </w:rPr>
        <w:t xml:space="preserve">Results </w:t>
      </w:r>
      <w:r w:rsidR="0083321F" w:rsidRPr="00155D80">
        <w:rPr>
          <w:rFonts w:ascii="Arial" w:eastAsia="Arial" w:hAnsi="Arial" w:cs="Arial"/>
          <w:bCs/>
        </w:rPr>
        <w:t xml:space="preserve">of common assessments, formative assessments, and agreed upon daily assignments are </w:t>
      </w:r>
      <w:r w:rsidRPr="00155D80">
        <w:rPr>
          <w:rFonts w:ascii="Arial" w:eastAsia="Arial" w:hAnsi="Arial" w:cs="Arial"/>
          <w:bCs/>
        </w:rPr>
        <w:t>discussed in grade level PLC"s. Work samples shared and discussed to address student misconceptions</w:t>
      </w:r>
      <w:r w:rsidR="0083321F" w:rsidRPr="00155D80">
        <w:rPr>
          <w:rFonts w:ascii="Arial" w:eastAsia="Arial" w:hAnsi="Arial" w:cs="Arial"/>
          <w:bCs/>
        </w:rPr>
        <w:t xml:space="preserve"> and to plan instruction moving forward.  </w:t>
      </w:r>
    </w:p>
    <w:p w14:paraId="51A08F78" w14:textId="77777777" w:rsidR="008B5432" w:rsidRPr="00155D80"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155D80">
        <w:rPr>
          <w:rFonts w:ascii="Arial" w:eastAsia="Arial" w:hAnsi="Arial" w:cs="Arial"/>
          <w:bCs/>
        </w:rPr>
        <w:tab/>
      </w:r>
    </w:p>
    <w:p w14:paraId="17ACC7C3" w14:textId="77777777" w:rsidR="008B5432" w:rsidRPr="00155D80"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EB22C1">
        <w:rPr>
          <w:rFonts w:ascii="Arial" w:eastAsia="Arial" w:hAnsi="Arial" w:cs="Arial"/>
          <w:b/>
          <w:bCs/>
          <w:u w:val="single"/>
        </w:rPr>
        <w:t>Barriers</w:t>
      </w:r>
      <w:r w:rsidR="00057EE7" w:rsidRPr="00EB22C1">
        <w:rPr>
          <w:rFonts w:ascii="Arial" w:eastAsia="Arial" w:hAnsi="Arial" w:cs="Arial"/>
          <w:b/>
          <w:bCs/>
          <w:u w:val="single"/>
        </w:rPr>
        <w:t>-</w:t>
      </w:r>
      <w:r w:rsidR="00057EE7">
        <w:rPr>
          <w:rFonts w:ascii="Arial" w:eastAsia="Arial" w:hAnsi="Arial" w:cs="Arial"/>
          <w:b/>
          <w:bCs/>
        </w:rPr>
        <w:t xml:space="preserve"> </w:t>
      </w:r>
      <w:r w:rsidR="00057EE7" w:rsidRPr="00155D80">
        <w:rPr>
          <w:rFonts w:ascii="Arial" w:eastAsia="Arial" w:hAnsi="Arial" w:cs="Arial"/>
          <w:bCs/>
        </w:rPr>
        <w:t xml:space="preserve">The only barrier is the Distance Learning Days that occurred due to poor air quality.  We have had missed instruction which caused a small delay in pacing.  In addition, it has caused missed PLC time for grade levels to discuss data and plan instruction.  </w:t>
      </w:r>
    </w:p>
    <w:p w14:paraId="5A783D29" w14:textId="0B93CBF8" w:rsidR="008B5432" w:rsidRPr="00155D80"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EB22C1">
        <w:rPr>
          <w:rFonts w:ascii="Arial" w:eastAsia="Arial" w:hAnsi="Arial" w:cs="Arial"/>
          <w:b/>
          <w:bCs/>
          <w:u w:val="single"/>
        </w:rPr>
        <w:t>Next Steps</w:t>
      </w:r>
      <w:r w:rsidR="00057EE7" w:rsidRPr="00EB22C1">
        <w:rPr>
          <w:rFonts w:ascii="Arial" w:eastAsia="Arial" w:hAnsi="Arial" w:cs="Arial"/>
          <w:b/>
          <w:bCs/>
          <w:u w:val="single"/>
        </w:rPr>
        <w:t>-</w:t>
      </w:r>
      <w:r w:rsidR="00057EE7">
        <w:rPr>
          <w:rFonts w:ascii="Arial" w:eastAsia="Arial" w:hAnsi="Arial" w:cs="Arial"/>
          <w:b/>
          <w:bCs/>
        </w:rPr>
        <w:t xml:space="preserve"> </w:t>
      </w:r>
      <w:r w:rsidR="006861FE" w:rsidRPr="00155D80">
        <w:rPr>
          <w:rFonts w:ascii="Arial" w:eastAsia="Arial" w:hAnsi="Arial" w:cs="Arial"/>
          <w:bCs/>
        </w:rPr>
        <w:t xml:space="preserve">The </w:t>
      </w:r>
      <w:r w:rsidR="00F07C4F">
        <w:rPr>
          <w:rFonts w:ascii="Arial" w:eastAsia="Arial" w:hAnsi="Arial" w:cs="Arial"/>
          <w:bCs/>
        </w:rPr>
        <w:t>Elevation</w:t>
      </w:r>
      <w:r w:rsidR="006861FE" w:rsidRPr="00155D80">
        <w:rPr>
          <w:rFonts w:ascii="Arial" w:eastAsia="Arial" w:hAnsi="Arial" w:cs="Arial"/>
          <w:bCs/>
        </w:rPr>
        <w:t xml:space="preserve"> professional development </w:t>
      </w:r>
      <w:r w:rsidR="00F07C4F">
        <w:rPr>
          <w:rFonts w:ascii="Arial" w:eastAsia="Arial" w:hAnsi="Arial" w:cs="Arial"/>
          <w:bCs/>
        </w:rPr>
        <w:t xml:space="preserve">and a clear focus of tier 1 high quality instruction </w:t>
      </w:r>
      <w:r w:rsidR="006861FE" w:rsidRPr="00155D80">
        <w:rPr>
          <w:rFonts w:ascii="Arial" w:eastAsia="Arial" w:hAnsi="Arial" w:cs="Arial"/>
          <w:bCs/>
        </w:rPr>
        <w:t>will be on Nov. 3, 2020.</w:t>
      </w:r>
    </w:p>
    <w:p w14:paraId="51CF2602" w14:textId="77777777" w:rsidR="008B5432" w:rsidRDefault="008B5432" w:rsidP="008B5432">
      <w:pPr>
        <w:rPr>
          <w:rFonts w:ascii="Arial" w:eastAsia="Arial" w:hAnsi="Arial" w:cs="Arial"/>
          <w:b/>
          <w:color w:val="FF0000"/>
        </w:rPr>
      </w:pPr>
    </w:p>
    <w:p w14:paraId="12F20BF2" w14:textId="77777777" w:rsidR="003863F8" w:rsidRDefault="003863F8" w:rsidP="008B5432">
      <w:pPr>
        <w:rPr>
          <w:rFonts w:ascii="Arial" w:eastAsia="Arial" w:hAnsi="Arial" w:cs="Arial"/>
          <w:b/>
          <w:bCs/>
          <w:color w:val="44546A" w:themeColor="text2"/>
          <w:u w:val="single"/>
        </w:rPr>
      </w:pPr>
    </w:p>
    <w:p w14:paraId="6AC107FF" w14:textId="77777777" w:rsidR="003863F8" w:rsidRDefault="003863F8" w:rsidP="008B5432">
      <w:pPr>
        <w:rPr>
          <w:rFonts w:ascii="Arial" w:eastAsia="Arial" w:hAnsi="Arial" w:cs="Arial"/>
          <w:b/>
          <w:bCs/>
          <w:color w:val="44546A" w:themeColor="text2"/>
          <w:u w:val="single"/>
        </w:rPr>
      </w:pPr>
    </w:p>
    <w:p w14:paraId="0A5CAD9D" w14:textId="21D431E6" w:rsidR="003863F8" w:rsidRDefault="003863F8" w:rsidP="008B5432">
      <w:pPr>
        <w:rPr>
          <w:rFonts w:ascii="Arial" w:eastAsia="Arial" w:hAnsi="Arial" w:cs="Arial"/>
          <w:b/>
          <w:bCs/>
          <w:color w:val="44546A" w:themeColor="text2"/>
          <w:u w:val="single"/>
        </w:rPr>
      </w:pPr>
    </w:p>
    <w:p w14:paraId="648AFFD2" w14:textId="77777777" w:rsidR="00687DA9" w:rsidRDefault="00687DA9" w:rsidP="008B5432">
      <w:pPr>
        <w:rPr>
          <w:rFonts w:ascii="Arial" w:eastAsia="Arial" w:hAnsi="Arial" w:cs="Arial"/>
          <w:b/>
          <w:bCs/>
          <w:color w:val="44546A" w:themeColor="text2"/>
          <w:u w:val="single"/>
        </w:rPr>
      </w:pPr>
    </w:p>
    <w:p w14:paraId="207D09B3" w14:textId="77777777" w:rsidR="003863F8" w:rsidRDefault="003863F8" w:rsidP="008B5432">
      <w:pPr>
        <w:rPr>
          <w:rFonts w:ascii="Arial" w:eastAsia="Arial" w:hAnsi="Arial" w:cs="Arial"/>
          <w:b/>
          <w:bCs/>
          <w:color w:val="44546A" w:themeColor="text2"/>
          <w:u w:val="single"/>
        </w:rPr>
      </w:pPr>
    </w:p>
    <w:p w14:paraId="77E9CB33" w14:textId="77777777" w:rsidR="00155D80" w:rsidRDefault="00155D80" w:rsidP="008B5432">
      <w:pPr>
        <w:rPr>
          <w:rFonts w:ascii="Arial" w:eastAsia="Arial" w:hAnsi="Arial" w:cs="Arial"/>
          <w:b/>
          <w:bCs/>
          <w:color w:val="44546A" w:themeColor="text2"/>
          <w:u w:val="single"/>
        </w:rPr>
      </w:pPr>
    </w:p>
    <w:p w14:paraId="5F25660D" w14:textId="77777777" w:rsidR="008B5432" w:rsidRPr="00D505D4" w:rsidRDefault="008B5432" w:rsidP="008B5432">
      <w:pPr>
        <w:rPr>
          <w:rFonts w:ascii="Arial" w:eastAsia="Arial" w:hAnsi="Arial" w:cs="Arial"/>
          <w:b/>
          <w:bCs/>
          <w:color w:val="44546A" w:themeColor="text2"/>
          <w:u w:val="single"/>
        </w:rPr>
      </w:pPr>
      <w:r w:rsidRPr="00D505D4">
        <w:rPr>
          <w:rFonts w:ascii="Arial" w:eastAsia="Arial" w:hAnsi="Arial" w:cs="Arial"/>
          <w:b/>
          <w:bCs/>
          <w:color w:val="44546A" w:themeColor="text2"/>
          <w:u w:val="single"/>
        </w:rPr>
        <w:lastRenderedPageBreak/>
        <w:t>Family Engagement</w:t>
      </w:r>
    </w:p>
    <w:p w14:paraId="38C8EABF" w14:textId="77777777" w:rsidR="008B5432" w:rsidRDefault="008B5432" w:rsidP="008B5432">
      <w:pPr>
        <w:rPr>
          <w:rFonts w:ascii="Arial" w:eastAsia="Arial" w:hAnsi="Arial" w:cs="Arial"/>
          <w:b/>
          <w:color w:val="FF0000"/>
        </w:rPr>
      </w:pPr>
    </w:p>
    <w:p w14:paraId="0EE27C0E" w14:textId="193460EE" w:rsidR="0029207B" w:rsidRPr="00AA3939" w:rsidRDefault="008B5432" w:rsidP="002920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EB22C1">
        <w:rPr>
          <w:rFonts w:ascii="Arial" w:eastAsia="Arial" w:hAnsi="Arial" w:cs="Arial"/>
          <w:b/>
          <w:bCs/>
          <w:u w:val="single"/>
        </w:rPr>
        <w:t>Progress</w:t>
      </w:r>
      <w:r w:rsidR="0029207B" w:rsidRPr="00EB22C1">
        <w:rPr>
          <w:rFonts w:ascii="Arial" w:eastAsia="Arial" w:hAnsi="Arial" w:cs="Arial"/>
          <w:b/>
          <w:bCs/>
          <w:u w:val="single"/>
        </w:rPr>
        <w:t>-</w:t>
      </w:r>
      <w:r w:rsidR="0029207B">
        <w:rPr>
          <w:rFonts w:ascii="Arial" w:eastAsia="Arial" w:hAnsi="Arial" w:cs="Arial"/>
          <w:b/>
          <w:bCs/>
        </w:rPr>
        <w:t xml:space="preserve"> </w:t>
      </w:r>
      <w:r w:rsidR="0029207B" w:rsidRPr="00AA3939">
        <w:rPr>
          <w:rFonts w:ascii="Arial" w:eastAsia="Arial" w:hAnsi="Arial" w:cs="Arial"/>
          <w:bCs/>
        </w:rPr>
        <w:t xml:space="preserve">This year’s measurable objective is:  </w:t>
      </w:r>
      <w:r w:rsidR="004215EB">
        <w:rPr>
          <w:rFonts w:ascii="Arial" w:eastAsia="Arial" w:hAnsi="Arial" w:cs="Arial"/>
          <w:bCs/>
        </w:rPr>
        <w:t>Hidden Valley</w:t>
      </w:r>
      <w:r w:rsidR="0029207B" w:rsidRPr="00AA3939">
        <w:rPr>
          <w:rFonts w:ascii="Arial" w:eastAsia="Arial" w:hAnsi="Arial" w:cs="Arial"/>
          <w:bCs/>
        </w:rPr>
        <w:t xml:space="preserve"> will sponsor academic based events for families which will help deepen the knowledge of the students and </w:t>
      </w:r>
      <w:proofErr w:type="gramStart"/>
      <w:r w:rsidR="0029207B" w:rsidRPr="00AA3939">
        <w:rPr>
          <w:rFonts w:ascii="Arial" w:eastAsia="Arial" w:hAnsi="Arial" w:cs="Arial"/>
          <w:bCs/>
        </w:rPr>
        <w:t>families  and</w:t>
      </w:r>
      <w:proofErr w:type="gramEnd"/>
      <w:r w:rsidR="0029207B" w:rsidRPr="00AA3939">
        <w:rPr>
          <w:rFonts w:ascii="Arial" w:eastAsia="Arial" w:hAnsi="Arial" w:cs="Arial"/>
          <w:bCs/>
        </w:rPr>
        <w:t xml:space="preserve"> to create a clear understanding of their child's academic levels, effective strategies for learning, and resources to support in person and distance learning.  </w:t>
      </w:r>
    </w:p>
    <w:p w14:paraId="21BDD052" w14:textId="77777777" w:rsidR="008B5432" w:rsidRPr="00AA3939" w:rsidRDefault="0029207B" w:rsidP="002920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These events will include Back to School Nights, Data Days, student-led conferences, and Coffee with the Principal. In addition, there will be additional communication provided to families for </w:t>
      </w:r>
      <w:proofErr w:type="gramStart"/>
      <w:r w:rsidRPr="00AA3939">
        <w:rPr>
          <w:rFonts w:ascii="Arial" w:eastAsia="Arial" w:hAnsi="Arial" w:cs="Arial"/>
          <w:bCs/>
        </w:rPr>
        <w:t>on line</w:t>
      </w:r>
      <w:proofErr w:type="gramEnd"/>
      <w:r w:rsidRPr="00AA3939">
        <w:rPr>
          <w:rFonts w:ascii="Arial" w:eastAsia="Arial" w:hAnsi="Arial" w:cs="Arial"/>
          <w:bCs/>
        </w:rPr>
        <w:t xml:space="preserve"> resources.  Marvin Moss will reach and support 75% of the families whose children are below grade level in reading as documented by sign in sheets and attendance documentation.  </w:t>
      </w:r>
    </w:p>
    <w:p w14:paraId="09EDAC37" w14:textId="77777777" w:rsidR="00EB22C1" w:rsidRPr="00AA3939" w:rsidRDefault="00EB22C1" w:rsidP="002920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Back to School Night occurred in August.  Teachers held virtual class meetings to explain the classroom, academics, policies and procedures.  We didn’t have as many parents attend as in the past </w:t>
      </w:r>
      <w:proofErr w:type="gramStart"/>
      <w:r w:rsidRPr="00AA3939">
        <w:rPr>
          <w:rFonts w:ascii="Arial" w:eastAsia="Arial" w:hAnsi="Arial" w:cs="Arial"/>
          <w:bCs/>
        </w:rPr>
        <w:t>with in</w:t>
      </w:r>
      <w:proofErr w:type="gramEnd"/>
      <w:r w:rsidRPr="00AA3939">
        <w:rPr>
          <w:rFonts w:ascii="Arial" w:eastAsia="Arial" w:hAnsi="Arial" w:cs="Arial"/>
          <w:bCs/>
        </w:rPr>
        <w:t xml:space="preserve"> person Back to School, however the parents were pleased with the information.  </w:t>
      </w:r>
    </w:p>
    <w:p w14:paraId="7DF465F6" w14:textId="77777777" w:rsidR="00EB22C1" w:rsidRPr="00AA3939" w:rsidRDefault="00EB22C1" w:rsidP="002920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Parent/Teacher/Student conferences are occurring right now.  They are a combination of in person and virtual in order to support our families’ desires and needs. </w:t>
      </w:r>
    </w:p>
    <w:p w14:paraId="23F8801C" w14:textId="49D6547B" w:rsidR="00EB22C1" w:rsidRPr="00AA3939" w:rsidRDefault="00EB22C1" w:rsidP="002920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 The first Coffee with the Principal </w:t>
      </w:r>
      <w:r w:rsidR="004A3F56">
        <w:rPr>
          <w:rFonts w:ascii="Arial" w:eastAsia="Arial" w:hAnsi="Arial" w:cs="Arial"/>
          <w:bCs/>
        </w:rPr>
        <w:t>is coming in November.</w:t>
      </w:r>
      <w:r w:rsidRPr="00AA3939">
        <w:rPr>
          <w:rFonts w:ascii="Arial" w:eastAsia="Arial" w:hAnsi="Arial" w:cs="Arial"/>
          <w:bCs/>
        </w:rPr>
        <w:t xml:space="preserve">   </w:t>
      </w:r>
    </w:p>
    <w:p w14:paraId="0F5781D3" w14:textId="151D81E5" w:rsidR="00EB22C1" w:rsidRPr="00AA3939" w:rsidRDefault="00EB22C1" w:rsidP="002920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We have held Microsoft Teams learning sessions and one Envisions mat</w:t>
      </w:r>
      <w:r w:rsidR="004A3F56">
        <w:rPr>
          <w:rFonts w:ascii="Arial" w:eastAsia="Arial" w:hAnsi="Arial" w:cs="Arial"/>
          <w:bCs/>
        </w:rPr>
        <w:t>h</w:t>
      </w:r>
      <w:r w:rsidRPr="00AA3939">
        <w:rPr>
          <w:rFonts w:ascii="Arial" w:eastAsia="Arial" w:hAnsi="Arial" w:cs="Arial"/>
          <w:bCs/>
        </w:rPr>
        <w:t xml:space="preserve">.  </w:t>
      </w:r>
    </w:p>
    <w:p w14:paraId="2B1C325A" w14:textId="77777777" w:rsidR="008B5432"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
          <w:bCs/>
        </w:rPr>
      </w:pPr>
      <w:r>
        <w:rPr>
          <w:rFonts w:ascii="Arial" w:eastAsia="Arial" w:hAnsi="Arial" w:cs="Arial"/>
          <w:b/>
          <w:bCs/>
        </w:rPr>
        <w:t>Barriers</w:t>
      </w:r>
      <w:r w:rsidR="00EB22C1" w:rsidRPr="00AA3939">
        <w:rPr>
          <w:rFonts w:ascii="Arial" w:eastAsia="Arial" w:hAnsi="Arial" w:cs="Arial"/>
          <w:bCs/>
        </w:rPr>
        <w:t>- Many families have work schedules that don’t allow for easy participation in our evening session or events.</w:t>
      </w:r>
      <w:r w:rsidR="00EB22C1">
        <w:rPr>
          <w:rFonts w:ascii="Arial" w:eastAsia="Arial" w:hAnsi="Arial" w:cs="Arial"/>
          <w:b/>
          <w:bCs/>
        </w:rPr>
        <w:t xml:space="preserve"> </w:t>
      </w:r>
      <w:r>
        <w:rPr>
          <w:rFonts w:ascii="Arial" w:eastAsia="Arial" w:hAnsi="Arial" w:cs="Arial"/>
          <w:b/>
          <w:bCs/>
        </w:rPr>
        <w:tab/>
      </w:r>
    </w:p>
    <w:p w14:paraId="73C47119"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Pr>
          <w:rFonts w:ascii="Arial" w:eastAsia="Arial" w:hAnsi="Arial" w:cs="Arial"/>
          <w:b/>
          <w:bCs/>
        </w:rPr>
        <w:t>Next Steps</w:t>
      </w:r>
      <w:r w:rsidR="004A7D2A">
        <w:rPr>
          <w:rFonts w:ascii="Arial" w:eastAsia="Arial" w:hAnsi="Arial" w:cs="Arial"/>
          <w:b/>
          <w:bCs/>
        </w:rPr>
        <w:t xml:space="preserve">: </w:t>
      </w:r>
      <w:r w:rsidR="004A7D2A" w:rsidRPr="00AA3939">
        <w:rPr>
          <w:rFonts w:ascii="Arial" w:eastAsia="Arial" w:hAnsi="Arial" w:cs="Arial"/>
          <w:bCs/>
        </w:rPr>
        <w:t xml:space="preserve">We, the Family Involvement Team, will continue to meet to brainstorm ways to ensure we </w:t>
      </w:r>
      <w:proofErr w:type="gramStart"/>
      <w:r w:rsidR="004A7D2A" w:rsidRPr="00AA3939">
        <w:rPr>
          <w:rFonts w:ascii="Arial" w:eastAsia="Arial" w:hAnsi="Arial" w:cs="Arial"/>
          <w:bCs/>
        </w:rPr>
        <w:t>reach  more</w:t>
      </w:r>
      <w:proofErr w:type="gramEnd"/>
      <w:r w:rsidR="004A7D2A" w:rsidRPr="00AA3939">
        <w:rPr>
          <w:rFonts w:ascii="Arial" w:eastAsia="Arial" w:hAnsi="Arial" w:cs="Arial"/>
          <w:bCs/>
        </w:rPr>
        <w:t xml:space="preserve"> families.  </w:t>
      </w:r>
    </w:p>
    <w:p w14:paraId="5233B415" w14:textId="77777777" w:rsidR="008B5432" w:rsidRPr="00AA3939" w:rsidRDefault="008B5432" w:rsidP="008B5432">
      <w:pPr>
        <w:rPr>
          <w:rFonts w:ascii="Arial" w:eastAsia="Arial" w:hAnsi="Arial" w:cs="Arial"/>
          <w:color w:val="FF0000"/>
        </w:rPr>
      </w:pPr>
    </w:p>
    <w:p w14:paraId="249067F7" w14:textId="77777777" w:rsidR="008B5432" w:rsidRPr="00D505D4" w:rsidRDefault="008B5432" w:rsidP="008B5432">
      <w:pPr>
        <w:rPr>
          <w:rFonts w:ascii="Arial" w:eastAsia="Arial" w:hAnsi="Arial" w:cs="Arial"/>
          <w:b/>
          <w:bCs/>
          <w:color w:val="44546A" w:themeColor="text2"/>
          <w:u w:val="single"/>
        </w:rPr>
      </w:pPr>
      <w:r w:rsidRPr="00D505D4">
        <w:rPr>
          <w:rFonts w:ascii="Arial" w:eastAsia="Arial" w:hAnsi="Arial" w:cs="Arial"/>
          <w:b/>
          <w:bCs/>
          <w:color w:val="44546A" w:themeColor="text2"/>
          <w:u w:val="single"/>
        </w:rPr>
        <w:t>Curriculum, Instruction, Assessment</w:t>
      </w:r>
    </w:p>
    <w:p w14:paraId="52F13C81" w14:textId="77777777" w:rsidR="008B5432" w:rsidRDefault="008B5432" w:rsidP="008B5432">
      <w:pPr>
        <w:rPr>
          <w:rFonts w:ascii="Arial" w:eastAsia="Arial" w:hAnsi="Arial" w:cs="Arial"/>
          <w:b/>
          <w:color w:val="FF0000"/>
        </w:rPr>
      </w:pPr>
    </w:p>
    <w:p w14:paraId="0BAB0F89" w14:textId="77777777" w:rsidR="006F4F12" w:rsidRPr="006F4F12"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
          <w:bCs/>
          <w:u w:val="single"/>
        </w:rPr>
      </w:pPr>
      <w:r w:rsidRPr="006F4F12">
        <w:rPr>
          <w:rFonts w:ascii="Arial" w:eastAsia="Arial" w:hAnsi="Arial" w:cs="Arial"/>
          <w:b/>
          <w:bCs/>
          <w:u w:val="single"/>
        </w:rPr>
        <w:t>Progress</w:t>
      </w:r>
      <w:r w:rsidR="006F4F12" w:rsidRPr="006F4F12">
        <w:rPr>
          <w:rFonts w:ascii="Arial" w:eastAsia="Arial" w:hAnsi="Arial" w:cs="Arial"/>
          <w:b/>
          <w:bCs/>
          <w:u w:val="single"/>
        </w:rPr>
        <w:t xml:space="preserve">  </w:t>
      </w:r>
    </w:p>
    <w:p w14:paraId="3C7FB91C" w14:textId="77777777" w:rsidR="006F4F12" w:rsidRPr="00AA3939" w:rsidRDefault="006F4F12" w:rsidP="006F4F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6F4F12">
        <w:rPr>
          <w:rFonts w:ascii="Arial" w:eastAsia="Arial" w:hAnsi="Arial" w:cs="Arial"/>
          <w:b/>
          <w:bCs/>
          <w:u w:val="single"/>
        </w:rPr>
        <w:t>English Language Arts</w:t>
      </w:r>
      <w:r w:rsidRPr="00AA3939">
        <w:rPr>
          <w:rFonts w:ascii="Arial" w:eastAsia="Arial" w:hAnsi="Arial" w:cs="Arial"/>
          <w:bCs/>
        </w:rPr>
        <w:t xml:space="preserve">: The grade level </w:t>
      </w:r>
      <w:proofErr w:type="gramStart"/>
      <w:r w:rsidRPr="00AA3939">
        <w:rPr>
          <w:rFonts w:ascii="Arial" w:eastAsia="Arial" w:hAnsi="Arial" w:cs="Arial"/>
          <w:bCs/>
        </w:rPr>
        <w:t>PLC's  plan</w:t>
      </w:r>
      <w:proofErr w:type="gramEnd"/>
      <w:r w:rsidRPr="00AA3939">
        <w:rPr>
          <w:rFonts w:ascii="Arial" w:eastAsia="Arial" w:hAnsi="Arial" w:cs="Arial"/>
          <w:bCs/>
        </w:rPr>
        <w:t xml:space="preserve"> lessons weekly based on the pacing guides and common assessment data gathered.   This information provide</w:t>
      </w:r>
      <w:r w:rsidR="0083321F" w:rsidRPr="00AA3939">
        <w:rPr>
          <w:rFonts w:ascii="Arial" w:eastAsia="Arial" w:hAnsi="Arial" w:cs="Arial"/>
          <w:bCs/>
        </w:rPr>
        <w:t>s</w:t>
      </w:r>
      <w:r w:rsidRPr="00AA3939">
        <w:rPr>
          <w:rFonts w:ascii="Arial" w:eastAsia="Arial" w:hAnsi="Arial" w:cs="Arial"/>
          <w:bCs/>
        </w:rPr>
        <w:t xml:space="preserve"> accurate and detailed information regarding student learning, and how to proceed with necessary interventions.  </w:t>
      </w:r>
    </w:p>
    <w:p w14:paraId="0AED45CF" w14:textId="77777777" w:rsidR="006F4F12" w:rsidRPr="00AA3939" w:rsidRDefault="006F4F12" w:rsidP="006F4F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The work samples shared during PLC's allow for reflection on effective instructional strategies and student misconceptions.  </w:t>
      </w:r>
    </w:p>
    <w:p w14:paraId="4B9BD97C" w14:textId="77777777" w:rsidR="006F4F12" w:rsidRPr="00AA3939" w:rsidRDefault="006F4F12" w:rsidP="006F4F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AA3939">
        <w:rPr>
          <w:rFonts w:ascii="Arial" w:eastAsia="Arial" w:hAnsi="Arial" w:cs="Arial"/>
          <w:bCs/>
        </w:rPr>
        <w:t xml:space="preserve">The grade </w:t>
      </w:r>
      <w:proofErr w:type="gramStart"/>
      <w:r w:rsidRPr="00AA3939">
        <w:rPr>
          <w:rFonts w:ascii="Arial" w:eastAsia="Arial" w:hAnsi="Arial" w:cs="Arial"/>
          <w:bCs/>
        </w:rPr>
        <w:t>levels  plan</w:t>
      </w:r>
      <w:proofErr w:type="gramEnd"/>
      <w:r w:rsidRPr="00AA3939">
        <w:rPr>
          <w:rFonts w:ascii="Arial" w:eastAsia="Arial" w:hAnsi="Arial" w:cs="Arial"/>
          <w:bCs/>
        </w:rPr>
        <w:t xml:space="preserve"> and implement guided reading groups (K-3) and small   reading/literature  groups (4-5).   Implementation of Benchmark for all grade levels K-5.  Use of benchmark formative assessments and SBAC interim assessments to guide instruction and target interventions.  </w:t>
      </w:r>
    </w:p>
    <w:p w14:paraId="34F3483C" w14:textId="77777777" w:rsidR="006F4F12" w:rsidRPr="00AA3939" w:rsidRDefault="006F4F12" w:rsidP="006F4F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6F4F12">
        <w:rPr>
          <w:rFonts w:ascii="Arial" w:eastAsia="Arial" w:hAnsi="Arial" w:cs="Arial"/>
          <w:b/>
          <w:bCs/>
        </w:rPr>
        <w:t xml:space="preserve">Targeted reading interventions </w:t>
      </w:r>
      <w:r w:rsidRPr="00AA3939">
        <w:rPr>
          <w:rFonts w:ascii="Arial" w:eastAsia="Arial" w:hAnsi="Arial" w:cs="Arial"/>
          <w:bCs/>
        </w:rPr>
        <w:t xml:space="preserve">- Leveled Literacy </w:t>
      </w:r>
      <w:proofErr w:type="gramStart"/>
      <w:r w:rsidRPr="00AA3939">
        <w:rPr>
          <w:rFonts w:ascii="Arial" w:eastAsia="Arial" w:hAnsi="Arial" w:cs="Arial"/>
          <w:bCs/>
        </w:rPr>
        <w:t>Intervention,  Phonics</w:t>
      </w:r>
      <w:proofErr w:type="gramEnd"/>
      <w:r w:rsidRPr="00AA3939">
        <w:rPr>
          <w:rFonts w:ascii="Arial" w:eastAsia="Arial" w:hAnsi="Arial" w:cs="Arial"/>
          <w:bCs/>
        </w:rPr>
        <w:t xml:space="preserve"> First, Soar to Success, Early Success, Scholastic Short Reads, Benchmark Intervention Kit.</w:t>
      </w:r>
    </w:p>
    <w:p w14:paraId="7426E5A2" w14:textId="77777777" w:rsidR="00215672" w:rsidRPr="00AA3939" w:rsidRDefault="006F4F12" w:rsidP="006F4F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sidRPr="006F4F12">
        <w:rPr>
          <w:rFonts w:ascii="Arial" w:eastAsia="Arial" w:hAnsi="Arial" w:cs="Arial"/>
          <w:b/>
          <w:bCs/>
          <w:u w:val="single"/>
        </w:rPr>
        <w:t>Math:</w:t>
      </w:r>
      <w:r>
        <w:rPr>
          <w:rFonts w:ascii="Arial" w:eastAsia="Arial" w:hAnsi="Arial" w:cs="Arial"/>
          <w:b/>
          <w:bCs/>
          <w:u w:val="single"/>
        </w:rPr>
        <w:t xml:space="preserve"> </w:t>
      </w:r>
      <w:r w:rsidRPr="00AA3939">
        <w:rPr>
          <w:rFonts w:ascii="Arial" w:eastAsia="Arial" w:hAnsi="Arial" w:cs="Arial"/>
          <w:bCs/>
        </w:rPr>
        <w:t xml:space="preserve">All grade level PLC's plan lessons weekly based on the pacing guides and common assessment data gathered.   PLC's </w:t>
      </w:r>
      <w:r w:rsidR="0083321F" w:rsidRPr="00AA3939">
        <w:rPr>
          <w:rFonts w:ascii="Arial" w:eastAsia="Arial" w:hAnsi="Arial" w:cs="Arial"/>
          <w:bCs/>
        </w:rPr>
        <w:t xml:space="preserve">have </w:t>
      </w:r>
      <w:proofErr w:type="gramStart"/>
      <w:r w:rsidR="0083321F" w:rsidRPr="00AA3939">
        <w:rPr>
          <w:rFonts w:ascii="Arial" w:eastAsia="Arial" w:hAnsi="Arial" w:cs="Arial"/>
          <w:bCs/>
        </w:rPr>
        <w:t>determined</w:t>
      </w:r>
      <w:r w:rsidRPr="00AA3939">
        <w:rPr>
          <w:rFonts w:ascii="Arial" w:eastAsia="Arial" w:hAnsi="Arial" w:cs="Arial"/>
          <w:bCs/>
        </w:rPr>
        <w:t xml:space="preserve">  the</w:t>
      </w:r>
      <w:proofErr w:type="gramEnd"/>
      <w:r w:rsidRPr="00AA3939">
        <w:rPr>
          <w:rFonts w:ascii="Arial" w:eastAsia="Arial" w:hAnsi="Arial" w:cs="Arial"/>
          <w:bCs/>
        </w:rPr>
        <w:t xml:space="preserve"> Essential Standards as the centerpiece of instruction and assess </w:t>
      </w:r>
      <w:r w:rsidR="0083321F" w:rsidRPr="00AA3939">
        <w:rPr>
          <w:rFonts w:ascii="Arial" w:eastAsia="Arial" w:hAnsi="Arial" w:cs="Arial"/>
          <w:bCs/>
        </w:rPr>
        <w:t xml:space="preserve">continuously </w:t>
      </w:r>
      <w:r w:rsidRPr="00AA3939">
        <w:rPr>
          <w:rFonts w:ascii="Arial" w:eastAsia="Arial" w:hAnsi="Arial" w:cs="Arial"/>
          <w:bCs/>
        </w:rPr>
        <w:t>through common assessments.  The assessment</w:t>
      </w:r>
      <w:r w:rsidR="0083321F" w:rsidRPr="00AA3939">
        <w:rPr>
          <w:rFonts w:ascii="Arial" w:eastAsia="Arial" w:hAnsi="Arial" w:cs="Arial"/>
          <w:bCs/>
        </w:rPr>
        <w:t>s drive</w:t>
      </w:r>
      <w:r w:rsidRPr="00AA3939">
        <w:rPr>
          <w:rFonts w:ascii="Arial" w:eastAsia="Arial" w:hAnsi="Arial" w:cs="Arial"/>
          <w:bCs/>
        </w:rPr>
        <w:t xml:space="preserve"> the instruction for intervention and enrichment for all students.</w:t>
      </w:r>
      <w:r w:rsidRPr="006F4F12">
        <w:rPr>
          <w:rFonts w:ascii="Arial" w:eastAsia="Arial" w:hAnsi="Arial" w:cs="Arial"/>
          <w:b/>
          <w:bCs/>
        </w:rPr>
        <w:t xml:space="preserve">  </w:t>
      </w:r>
      <w:r w:rsidRPr="00AA3939">
        <w:rPr>
          <w:rFonts w:ascii="Arial" w:eastAsia="Arial" w:hAnsi="Arial" w:cs="Arial"/>
          <w:bCs/>
        </w:rPr>
        <w:t xml:space="preserve">This information </w:t>
      </w:r>
      <w:r w:rsidR="0083321F" w:rsidRPr="00AA3939">
        <w:rPr>
          <w:rFonts w:ascii="Arial" w:eastAsia="Arial" w:hAnsi="Arial" w:cs="Arial"/>
          <w:bCs/>
        </w:rPr>
        <w:t>provides</w:t>
      </w:r>
      <w:r w:rsidRPr="00AA3939">
        <w:rPr>
          <w:rFonts w:ascii="Arial" w:eastAsia="Arial" w:hAnsi="Arial" w:cs="Arial"/>
          <w:bCs/>
        </w:rPr>
        <w:t xml:space="preserve"> accurate and detailed information regarding student learning, and how to proceed with necessary interventions.  The grade levels plan and implement the curriculum (Bridges and </w:t>
      </w:r>
      <w:proofErr w:type="gramStart"/>
      <w:r w:rsidRPr="00AA3939">
        <w:rPr>
          <w:rFonts w:ascii="Arial" w:eastAsia="Arial" w:hAnsi="Arial" w:cs="Arial"/>
          <w:bCs/>
        </w:rPr>
        <w:t>Envision)  for</w:t>
      </w:r>
      <w:proofErr w:type="gramEnd"/>
      <w:r w:rsidRPr="00AA3939">
        <w:rPr>
          <w:rFonts w:ascii="Arial" w:eastAsia="Arial" w:hAnsi="Arial" w:cs="Arial"/>
          <w:bCs/>
        </w:rPr>
        <w:t xml:space="preserve"> all grade levels K-5.  Use of common assessments and SBAC interim assessments guide instruction and target </w:t>
      </w:r>
      <w:r w:rsidR="0083321F" w:rsidRPr="00AA3939">
        <w:rPr>
          <w:rFonts w:ascii="Arial" w:eastAsia="Arial" w:hAnsi="Arial" w:cs="Arial"/>
          <w:bCs/>
        </w:rPr>
        <w:t xml:space="preserve">interventions.  </w:t>
      </w:r>
    </w:p>
    <w:p w14:paraId="13446EC4" w14:textId="77777777" w:rsidR="006F4F12" w:rsidRPr="006F4F12" w:rsidRDefault="006F4F12" w:rsidP="006F4F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
          <w:bCs/>
        </w:rPr>
      </w:pPr>
      <w:r w:rsidRPr="00AA3939">
        <w:rPr>
          <w:rFonts w:ascii="Arial" w:eastAsia="Arial" w:hAnsi="Arial" w:cs="Arial"/>
          <w:bCs/>
        </w:rPr>
        <w:t>interventions.</w:t>
      </w:r>
      <w:r w:rsidR="0083321F" w:rsidRPr="00AA3939">
        <w:rPr>
          <w:rFonts w:ascii="Arial" w:eastAsia="Arial" w:hAnsi="Arial" w:cs="Arial"/>
          <w:bCs/>
        </w:rPr>
        <w:t xml:space="preserve"> </w:t>
      </w:r>
      <w:r w:rsidRPr="00AA3939">
        <w:rPr>
          <w:rFonts w:ascii="Arial" w:eastAsia="Arial" w:hAnsi="Arial" w:cs="Arial"/>
          <w:bCs/>
        </w:rPr>
        <w:t>Targeted math intervention</w:t>
      </w:r>
      <w:r w:rsidR="0083321F" w:rsidRPr="00AA3939">
        <w:rPr>
          <w:rFonts w:ascii="Arial" w:eastAsia="Arial" w:hAnsi="Arial" w:cs="Arial"/>
          <w:bCs/>
        </w:rPr>
        <w:t>s occur</w:t>
      </w:r>
      <w:r w:rsidRPr="00AA3939">
        <w:rPr>
          <w:rFonts w:ascii="Arial" w:eastAsia="Arial" w:hAnsi="Arial" w:cs="Arial"/>
          <w:bCs/>
        </w:rPr>
        <w:t xml:space="preserve"> through small group instruction using research based instructional strategies</w:t>
      </w:r>
      <w:r w:rsidRPr="006F4F12">
        <w:rPr>
          <w:rFonts w:ascii="Arial" w:eastAsia="Arial" w:hAnsi="Arial" w:cs="Arial"/>
          <w:b/>
          <w:bCs/>
        </w:rPr>
        <w:t xml:space="preserve">.  </w:t>
      </w:r>
    </w:p>
    <w:p w14:paraId="435A12DF"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Pr>
          <w:rFonts w:ascii="Arial" w:eastAsia="Arial" w:hAnsi="Arial" w:cs="Arial"/>
          <w:b/>
          <w:bCs/>
        </w:rPr>
        <w:lastRenderedPageBreak/>
        <w:t>Barrier</w:t>
      </w:r>
      <w:r w:rsidR="00AA3939">
        <w:rPr>
          <w:rFonts w:ascii="Arial" w:eastAsia="Arial" w:hAnsi="Arial" w:cs="Arial"/>
          <w:b/>
          <w:bCs/>
        </w:rPr>
        <w:t xml:space="preserve">s- </w:t>
      </w:r>
      <w:r w:rsidR="00AA3939">
        <w:rPr>
          <w:rFonts w:ascii="Arial" w:eastAsia="Arial" w:hAnsi="Arial" w:cs="Arial"/>
          <w:bCs/>
        </w:rPr>
        <w:t xml:space="preserve">Missed instruction due to exclusions and distance learning days due to poor air quality have impacted our ability to stay on pace with our pacing guides and our ability to conduct consistent formative assessments.  </w:t>
      </w:r>
    </w:p>
    <w:p w14:paraId="7192BB4B" w14:textId="77777777" w:rsidR="008B5432" w:rsidRPr="00AA3939" w:rsidRDefault="008B5432" w:rsidP="008B54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Arial" w:eastAsia="Arial" w:hAnsi="Arial" w:cs="Arial"/>
          <w:bCs/>
        </w:rPr>
      </w:pPr>
      <w:r>
        <w:rPr>
          <w:rFonts w:ascii="Arial" w:eastAsia="Arial" w:hAnsi="Arial" w:cs="Arial"/>
          <w:b/>
          <w:bCs/>
        </w:rPr>
        <w:t>Next Steps</w:t>
      </w:r>
      <w:r w:rsidR="00AA3939">
        <w:rPr>
          <w:rFonts w:ascii="Arial" w:eastAsia="Arial" w:hAnsi="Arial" w:cs="Arial"/>
          <w:b/>
          <w:bCs/>
        </w:rPr>
        <w:t xml:space="preserve">- </w:t>
      </w:r>
      <w:r w:rsidR="00AA3939">
        <w:rPr>
          <w:rFonts w:ascii="Arial" w:eastAsia="Arial" w:hAnsi="Arial" w:cs="Arial"/>
          <w:bCs/>
        </w:rPr>
        <w:t xml:space="preserve">We will continue to build our own capacity through our PLC work.  We will focus on high yield strategies, and the use of formative assessment to guide instruction.  </w:t>
      </w:r>
    </w:p>
    <w:p w14:paraId="252814A0" w14:textId="77777777" w:rsidR="008B5432" w:rsidRDefault="008B5432" w:rsidP="008B5432">
      <w:pPr>
        <w:rPr>
          <w:rFonts w:ascii="Arial" w:eastAsia="Arial" w:hAnsi="Arial" w:cs="Arial"/>
          <w:b/>
          <w:color w:val="FF0000"/>
        </w:rPr>
      </w:pPr>
    </w:p>
    <w:p w14:paraId="0DABF2A7" w14:textId="77777777" w:rsidR="008B5432" w:rsidRDefault="008B5432" w:rsidP="008B5432">
      <w:pPr>
        <w:spacing w:line="347" w:lineRule="exact"/>
        <w:rPr>
          <w:sz w:val="20"/>
          <w:szCs w:val="20"/>
        </w:rPr>
      </w:pPr>
    </w:p>
    <w:p w14:paraId="1888B0CF" w14:textId="77777777" w:rsidR="008B5432" w:rsidRDefault="008B5432" w:rsidP="008B5432">
      <w:pPr>
        <w:numPr>
          <w:ilvl w:val="0"/>
          <w:numId w:val="1"/>
        </w:numPr>
        <w:tabs>
          <w:tab w:val="left" w:pos="720"/>
        </w:tabs>
        <w:ind w:left="720" w:hanging="360"/>
        <w:rPr>
          <w:rFonts w:ascii="Arial" w:eastAsia="Arial" w:hAnsi="Arial" w:cs="Arial"/>
        </w:rPr>
      </w:pPr>
      <w:r>
        <w:rPr>
          <w:rFonts w:ascii="Arial" w:eastAsia="Arial" w:hAnsi="Arial" w:cs="Arial"/>
        </w:rPr>
        <w:t>Based on this data, list the adjustments (if any) you will be making to your action plan?</w:t>
      </w:r>
    </w:p>
    <w:p w14:paraId="4EF3BB42" w14:textId="77777777" w:rsidR="00902D0A" w:rsidRDefault="00902D0A" w:rsidP="00902D0A">
      <w:pPr>
        <w:pStyle w:val="ListParagraph"/>
        <w:numPr>
          <w:ilvl w:val="0"/>
          <w:numId w:val="4"/>
        </w:numPr>
        <w:tabs>
          <w:tab w:val="left" w:pos="720"/>
        </w:tabs>
        <w:rPr>
          <w:rFonts w:ascii="Arial" w:eastAsia="Arial" w:hAnsi="Arial" w:cs="Arial"/>
        </w:rPr>
      </w:pPr>
      <w:r>
        <w:rPr>
          <w:rFonts w:ascii="Arial" w:eastAsia="Arial" w:hAnsi="Arial" w:cs="Arial"/>
        </w:rPr>
        <w:t xml:space="preserve">No adjustments to our plan </w:t>
      </w:r>
      <w:proofErr w:type="gramStart"/>
      <w:r>
        <w:rPr>
          <w:rFonts w:ascii="Arial" w:eastAsia="Arial" w:hAnsi="Arial" w:cs="Arial"/>
        </w:rPr>
        <w:t>at this time</w:t>
      </w:r>
      <w:proofErr w:type="gramEnd"/>
      <w:r>
        <w:rPr>
          <w:rFonts w:ascii="Arial" w:eastAsia="Arial" w:hAnsi="Arial" w:cs="Arial"/>
        </w:rPr>
        <w:t xml:space="preserve">.  We will continue to collect data in order to determine if changes are needed after Winter assessments.  </w:t>
      </w:r>
    </w:p>
    <w:p w14:paraId="7763A672" w14:textId="77777777" w:rsidR="00902D0A" w:rsidRPr="00902D0A" w:rsidRDefault="00902D0A" w:rsidP="00902D0A">
      <w:pPr>
        <w:pStyle w:val="ListParagraph"/>
        <w:tabs>
          <w:tab w:val="left" w:pos="720"/>
        </w:tabs>
        <w:ind w:left="1080"/>
        <w:rPr>
          <w:rFonts w:ascii="Arial" w:eastAsia="Arial" w:hAnsi="Arial" w:cs="Arial"/>
        </w:rPr>
      </w:pPr>
    </w:p>
    <w:p w14:paraId="44F54A97" w14:textId="77777777" w:rsidR="008B5432" w:rsidRDefault="008B5432" w:rsidP="008B5432">
      <w:pPr>
        <w:spacing w:line="47" w:lineRule="exact"/>
        <w:rPr>
          <w:rFonts w:ascii="Arial" w:eastAsia="Arial" w:hAnsi="Arial" w:cs="Arial"/>
        </w:rPr>
      </w:pPr>
    </w:p>
    <w:p w14:paraId="113B6158" w14:textId="77777777" w:rsidR="008B5432" w:rsidRDefault="008B5432" w:rsidP="008B5432">
      <w:pPr>
        <w:numPr>
          <w:ilvl w:val="0"/>
          <w:numId w:val="1"/>
        </w:numPr>
        <w:tabs>
          <w:tab w:val="left" w:pos="720"/>
        </w:tabs>
        <w:ind w:left="720" w:hanging="360"/>
        <w:rPr>
          <w:rFonts w:ascii="Arial" w:eastAsia="Arial" w:hAnsi="Arial" w:cs="Arial"/>
        </w:rPr>
      </w:pPr>
      <w:r>
        <w:rPr>
          <w:rFonts w:ascii="Arial" w:eastAsia="Arial" w:hAnsi="Arial" w:cs="Arial"/>
        </w:rPr>
        <w:t>What targets will you set for the Winter benchmark based on this initial data?</w:t>
      </w:r>
    </w:p>
    <w:p w14:paraId="2E122252" w14:textId="77777777" w:rsidR="00212507" w:rsidRDefault="00212507" w:rsidP="00212507">
      <w:pPr>
        <w:numPr>
          <w:ilvl w:val="1"/>
          <w:numId w:val="1"/>
        </w:numPr>
        <w:tabs>
          <w:tab w:val="left" w:pos="720"/>
        </w:tabs>
        <w:ind w:left="720" w:hanging="360"/>
        <w:rPr>
          <w:rFonts w:ascii="Arial" w:eastAsia="Arial" w:hAnsi="Arial" w:cs="Arial"/>
        </w:rPr>
      </w:pPr>
      <w:r>
        <w:rPr>
          <w:rFonts w:ascii="Arial" w:eastAsia="Arial" w:hAnsi="Arial" w:cs="Arial"/>
        </w:rPr>
        <w:t>- We would like to see the percentages of students below the 40</w:t>
      </w:r>
      <w:r w:rsidRPr="00212507">
        <w:rPr>
          <w:rFonts w:ascii="Arial" w:eastAsia="Arial" w:hAnsi="Arial" w:cs="Arial"/>
          <w:vertAlign w:val="superscript"/>
        </w:rPr>
        <w:t>th</w:t>
      </w:r>
      <w:r>
        <w:rPr>
          <w:rFonts w:ascii="Arial" w:eastAsia="Arial" w:hAnsi="Arial" w:cs="Arial"/>
        </w:rPr>
        <w:t xml:space="preserve"> percentile be reduced in the area of Reading.  </w:t>
      </w:r>
    </w:p>
    <w:tbl>
      <w:tblPr>
        <w:tblStyle w:val="TableGrid"/>
        <w:tblW w:w="0" w:type="auto"/>
        <w:tblInd w:w="720" w:type="dxa"/>
        <w:tblLook w:val="04A0" w:firstRow="1" w:lastRow="0" w:firstColumn="1" w:lastColumn="0" w:noHBand="0" w:noVBand="1"/>
      </w:tblPr>
      <w:tblGrid>
        <w:gridCol w:w="2898"/>
        <w:gridCol w:w="3057"/>
        <w:gridCol w:w="2675"/>
      </w:tblGrid>
      <w:tr w:rsidR="00212507" w14:paraId="2523B1FF" w14:textId="77777777" w:rsidTr="00212507">
        <w:tc>
          <w:tcPr>
            <w:tcW w:w="2898" w:type="dxa"/>
          </w:tcPr>
          <w:p w14:paraId="08BB63DB"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Grade level</w:t>
            </w:r>
          </w:p>
        </w:tc>
        <w:tc>
          <w:tcPr>
            <w:tcW w:w="3057" w:type="dxa"/>
          </w:tcPr>
          <w:p w14:paraId="17F287A7"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Fall Data- %below the 40</w:t>
            </w:r>
            <w:r w:rsidRPr="00212507">
              <w:rPr>
                <w:rFonts w:ascii="Arial" w:eastAsia="Arial" w:hAnsi="Arial" w:cs="Arial"/>
                <w:vertAlign w:val="superscript"/>
              </w:rPr>
              <w:t>th</w:t>
            </w:r>
            <w:r>
              <w:rPr>
                <w:rFonts w:ascii="Arial" w:eastAsia="Arial" w:hAnsi="Arial" w:cs="Arial"/>
              </w:rPr>
              <w:t xml:space="preserve"> percentile</w:t>
            </w:r>
          </w:p>
        </w:tc>
        <w:tc>
          <w:tcPr>
            <w:tcW w:w="2675" w:type="dxa"/>
          </w:tcPr>
          <w:p w14:paraId="4E4AC2E5"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Goal for Winter Data- percentage below the 40</w:t>
            </w:r>
            <w:r w:rsidRPr="00212507">
              <w:rPr>
                <w:rFonts w:ascii="Arial" w:eastAsia="Arial" w:hAnsi="Arial" w:cs="Arial"/>
                <w:vertAlign w:val="superscript"/>
              </w:rPr>
              <w:t>th</w:t>
            </w:r>
            <w:r>
              <w:rPr>
                <w:rFonts w:ascii="Arial" w:eastAsia="Arial" w:hAnsi="Arial" w:cs="Arial"/>
              </w:rPr>
              <w:t xml:space="preserve"> percentile</w:t>
            </w:r>
          </w:p>
        </w:tc>
      </w:tr>
      <w:tr w:rsidR="00212507" w14:paraId="2985CD11" w14:textId="77777777" w:rsidTr="00212507">
        <w:tc>
          <w:tcPr>
            <w:tcW w:w="2898" w:type="dxa"/>
          </w:tcPr>
          <w:p w14:paraId="65703F34"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First</w:t>
            </w:r>
          </w:p>
        </w:tc>
        <w:tc>
          <w:tcPr>
            <w:tcW w:w="3057" w:type="dxa"/>
          </w:tcPr>
          <w:p w14:paraId="1E35973E"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54%</w:t>
            </w:r>
          </w:p>
        </w:tc>
        <w:tc>
          <w:tcPr>
            <w:tcW w:w="2675" w:type="dxa"/>
          </w:tcPr>
          <w:p w14:paraId="08F7E7D7"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45%</w:t>
            </w:r>
          </w:p>
        </w:tc>
      </w:tr>
      <w:tr w:rsidR="00212507" w14:paraId="2B43997B" w14:textId="77777777" w:rsidTr="00212507">
        <w:tc>
          <w:tcPr>
            <w:tcW w:w="2898" w:type="dxa"/>
          </w:tcPr>
          <w:p w14:paraId="0D18D43B"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Second</w:t>
            </w:r>
          </w:p>
        </w:tc>
        <w:tc>
          <w:tcPr>
            <w:tcW w:w="3057" w:type="dxa"/>
          </w:tcPr>
          <w:p w14:paraId="0C9280C0"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63%</w:t>
            </w:r>
          </w:p>
        </w:tc>
        <w:tc>
          <w:tcPr>
            <w:tcW w:w="2675" w:type="dxa"/>
          </w:tcPr>
          <w:p w14:paraId="6B620AC2"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50%</w:t>
            </w:r>
          </w:p>
        </w:tc>
      </w:tr>
      <w:tr w:rsidR="00212507" w14:paraId="06FB6FD0" w14:textId="77777777" w:rsidTr="00212507">
        <w:tc>
          <w:tcPr>
            <w:tcW w:w="2898" w:type="dxa"/>
          </w:tcPr>
          <w:p w14:paraId="5B63D7D4"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Third</w:t>
            </w:r>
          </w:p>
        </w:tc>
        <w:tc>
          <w:tcPr>
            <w:tcW w:w="3057" w:type="dxa"/>
          </w:tcPr>
          <w:p w14:paraId="205BB92F"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26%</w:t>
            </w:r>
          </w:p>
        </w:tc>
        <w:tc>
          <w:tcPr>
            <w:tcW w:w="2675" w:type="dxa"/>
          </w:tcPr>
          <w:p w14:paraId="79DBF964"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20%</w:t>
            </w:r>
          </w:p>
        </w:tc>
      </w:tr>
      <w:tr w:rsidR="00212507" w14:paraId="1ADC1CFC" w14:textId="77777777" w:rsidTr="00212507">
        <w:tc>
          <w:tcPr>
            <w:tcW w:w="2898" w:type="dxa"/>
          </w:tcPr>
          <w:p w14:paraId="76FD230D"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Fourth</w:t>
            </w:r>
          </w:p>
        </w:tc>
        <w:tc>
          <w:tcPr>
            <w:tcW w:w="3057" w:type="dxa"/>
          </w:tcPr>
          <w:p w14:paraId="6836952B"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35%</w:t>
            </w:r>
          </w:p>
        </w:tc>
        <w:tc>
          <w:tcPr>
            <w:tcW w:w="2675" w:type="dxa"/>
          </w:tcPr>
          <w:p w14:paraId="11057EBF"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25%</w:t>
            </w:r>
          </w:p>
        </w:tc>
      </w:tr>
      <w:tr w:rsidR="00212507" w14:paraId="4AB3CB7E" w14:textId="77777777" w:rsidTr="00212507">
        <w:tc>
          <w:tcPr>
            <w:tcW w:w="2898" w:type="dxa"/>
          </w:tcPr>
          <w:p w14:paraId="0950C0D9"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Fifth</w:t>
            </w:r>
          </w:p>
        </w:tc>
        <w:tc>
          <w:tcPr>
            <w:tcW w:w="3057" w:type="dxa"/>
          </w:tcPr>
          <w:p w14:paraId="7A02FB60"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31%</w:t>
            </w:r>
          </w:p>
        </w:tc>
        <w:tc>
          <w:tcPr>
            <w:tcW w:w="2675" w:type="dxa"/>
          </w:tcPr>
          <w:p w14:paraId="5F729B11" w14:textId="77777777" w:rsidR="00212507" w:rsidRDefault="00212507" w:rsidP="00212507">
            <w:pPr>
              <w:numPr>
                <w:ilvl w:val="1"/>
                <w:numId w:val="1"/>
              </w:numPr>
              <w:tabs>
                <w:tab w:val="left" w:pos="720"/>
              </w:tabs>
              <w:rPr>
                <w:rFonts w:ascii="Arial" w:eastAsia="Arial" w:hAnsi="Arial" w:cs="Arial"/>
              </w:rPr>
            </w:pPr>
            <w:r>
              <w:rPr>
                <w:rFonts w:ascii="Arial" w:eastAsia="Arial" w:hAnsi="Arial" w:cs="Arial"/>
              </w:rPr>
              <w:t>25%</w:t>
            </w:r>
          </w:p>
        </w:tc>
      </w:tr>
    </w:tbl>
    <w:p w14:paraId="6E928553" w14:textId="77777777" w:rsidR="00212507" w:rsidRDefault="00212507" w:rsidP="008B5432">
      <w:pPr>
        <w:numPr>
          <w:ilvl w:val="1"/>
          <w:numId w:val="1"/>
        </w:numPr>
        <w:tabs>
          <w:tab w:val="left" w:pos="720"/>
        </w:tabs>
        <w:ind w:left="720" w:hanging="360"/>
        <w:rPr>
          <w:rFonts w:ascii="Arial" w:eastAsia="Arial" w:hAnsi="Arial" w:cs="Arial"/>
        </w:rPr>
      </w:pPr>
    </w:p>
    <w:p w14:paraId="0611B838" w14:textId="77777777" w:rsidR="008B5432" w:rsidRPr="00212507" w:rsidRDefault="00212507" w:rsidP="008B5432">
      <w:pPr>
        <w:numPr>
          <w:ilvl w:val="1"/>
          <w:numId w:val="1"/>
        </w:numPr>
        <w:tabs>
          <w:tab w:val="left" w:pos="720"/>
        </w:tabs>
        <w:ind w:left="720" w:hanging="360"/>
        <w:rPr>
          <w:rFonts w:ascii="Arial" w:eastAsia="Arial" w:hAnsi="Arial" w:cs="Arial"/>
        </w:rPr>
      </w:pPr>
      <w:r>
        <w:rPr>
          <w:rFonts w:ascii="Arial" w:eastAsia="Arial" w:hAnsi="Arial" w:cs="Arial"/>
        </w:rPr>
        <w:t xml:space="preserve">Students will also be taking the Math MAPS during the Winter assessment window.  </w:t>
      </w:r>
      <w:r w:rsidR="00AA2FE1">
        <w:rPr>
          <w:rFonts w:ascii="Arial" w:eastAsia="Arial" w:hAnsi="Arial" w:cs="Arial"/>
        </w:rPr>
        <w:t xml:space="preserve">Once the data is collected and analyzed, we will be able to make decisions about interventions and next steps.  </w:t>
      </w:r>
    </w:p>
    <w:p w14:paraId="70D4E195" w14:textId="77777777" w:rsidR="001B0D08" w:rsidRDefault="001B0D08"/>
    <w:sectPr w:rsidR="001B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1CA53AC"/>
    <w:lvl w:ilvl="0" w:tplc="60227072">
      <w:start w:val="1"/>
      <w:numFmt w:val="bullet"/>
      <w:lvlText w:val="%"/>
      <w:lvlJc w:val="left"/>
    </w:lvl>
    <w:lvl w:ilvl="1" w:tplc="4B44E5F6">
      <w:start w:val="1"/>
      <w:numFmt w:val="decimal"/>
      <w:lvlText w:val="%2."/>
      <w:lvlJc w:val="left"/>
    </w:lvl>
    <w:lvl w:ilvl="2" w:tplc="AAD63E82">
      <w:numFmt w:val="decimal"/>
      <w:lvlText w:val=""/>
      <w:lvlJc w:val="left"/>
    </w:lvl>
    <w:lvl w:ilvl="3" w:tplc="64520702">
      <w:numFmt w:val="decimal"/>
      <w:lvlText w:val=""/>
      <w:lvlJc w:val="left"/>
    </w:lvl>
    <w:lvl w:ilvl="4" w:tplc="1408FC78">
      <w:numFmt w:val="decimal"/>
      <w:lvlText w:val=""/>
      <w:lvlJc w:val="left"/>
    </w:lvl>
    <w:lvl w:ilvl="5" w:tplc="44B67B2E">
      <w:numFmt w:val="decimal"/>
      <w:lvlText w:val=""/>
      <w:lvlJc w:val="left"/>
    </w:lvl>
    <w:lvl w:ilvl="6" w:tplc="354CEF68">
      <w:numFmt w:val="decimal"/>
      <w:lvlText w:val=""/>
      <w:lvlJc w:val="left"/>
    </w:lvl>
    <w:lvl w:ilvl="7" w:tplc="1428A3D4">
      <w:numFmt w:val="decimal"/>
      <w:lvlText w:val=""/>
      <w:lvlJc w:val="left"/>
    </w:lvl>
    <w:lvl w:ilvl="8" w:tplc="8688A078">
      <w:numFmt w:val="decimal"/>
      <w:lvlText w:val=""/>
      <w:lvlJc w:val="left"/>
    </w:lvl>
  </w:abstractNum>
  <w:abstractNum w:abstractNumId="1" w15:restartNumberingAfterBreak="0">
    <w:nsid w:val="000026E9"/>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2" w15:restartNumberingAfterBreak="0">
    <w:nsid w:val="02C86EC0"/>
    <w:multiLevelType w:val="hybridMultilevel"/>
    <w:tmpl w:val="0712A738"/>
    <w:lvl w:ilvl="0" w:tplc="83803B3E">
      <w:start w:val="19"/>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545111"/>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num w:numId="1" w16cid:durableId="1211570258">
    <w:abstractNumId w:val="1"/>
  </w:num>
  <w:num w:numId="2" w16cid:durableId="1769229686">
    <w:abstractNumId w:val="0"/>
  </w:num>
  <w:num w:numId="3" w16cid:durableId="1005594298">
    <w:abstractNumId w:val="3"/>
  </w:num>
  <w:num w:numId="4" w16cid:durableId="205777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32"/>
    <w:rsid w:val="00057EE7"/>
    <w:rsid w:val="00155D80"/>
    <w:rsid w:val="001B0D08"/>
    <w:rsid w:val="00212507"/>
    <w:rsid w:val="00215672"/>
    <w:rsid w:val="0029207B"/>
    <w:rsid w:val="003863F8"/>
    <w:rsid w:val="004215EB"/>
    <w:rsid w:val="00432C6F"/>
    <w:rsid w:val="004A3F56"/>
    <w:rsid w:val="004A7D2A"/>
    <w:rsid w:val="00630853"/>
    <w:rsid w:val="006861FE"/>
    <w:rsid w:val="00687DA9"/>
    <w:rsid w:val="006B49ED"/>
    <w:rsid w:val="006F4F12"/>
    <w:rsid w:val="00753FE2"/>
    <w:rsid w:val="0083321F"/>
    <w:rsid w:val="008B5432"/>
    <w:rsid w:val="00902D0A"/>
    <w:rsid w:val="00914327"/>
    <w:rsid w:val="00AA2FE1"/>
    <w:rsid w:val="00AA3939"/>
    <w:rsid w:val="00C70286"/>
    <w:rsid w:val="00D77B9D"/>
    <w:rsid w:val="00EB22C1"/>
    <w:rsid w:val="00F07C4F"/>
    <w:rsid w:val="00F3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4B88"/>
  <w15:chartTrackingRefBased/>
  <w15:docId w15:val="{09DE90B3-FC24-48D8-A4A3-796BECF8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32"/>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0A"/>
    <w:pPr>
      <w:ind w:left="720"/>
      <w:contextualSpacing/>
    </w:pPr>
  </w:style>
  <w:style w:type="table" w:styleId="TableGrid">
    <w:name w:val="Table Grid"/>
    <w:basedOn w:val="TableNormal"/>
    <w:uiPriority w:val="39"/>
    <w:rsid w:val="0021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Herr, Tisha</cp:lastModifiedBy>
  <cp:revision>2</cp:revision>
  <dcterms:created xsi:type="dcterms:W3CDTF">2022-09-16T20:45:00Z</dcterms:created>
  <dcterms:modified xsi:type="dcterms:W3CDTF">2022-09-16T20:45:00Z</dcterms:modified>
</cp:coreProperties>
</file>